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67414" w14:textId="77777777" w:rsidR="00197DB3" w:rsidRPr="00C1679A" w:rsidRDefault="00197DB3" w:rsidP="00E670B3">
      <w:pPr>
        <w:spacing w:before="360"/>
        <w:jc w:val="center"/>
        <w:rPr>
          <w:rFonts w:cstheme="minorHAnsi"/>
          <w:b/>
          <w:sz w:val="32"/>
          <w:szCs w:val="32"/>
        </w:rPr>
      </w:pPr>
      <w:r w:rsidRPr="00C1679A">
        <w:rPr>
          <w:rFonts w:cstheme="minorHAnsi"/>
          <w:b/>
          <w:sz w:val="32"/>
          <w:szCs w:val="32"/>
        </w:rPr>
        <w:t>TECHNICKÉ POŽADAVKY NA SVÍTIDLA, SLOUPY A ROZVADĚČE</w:t>
      </w:r>
    </w:p>
    <w:p w14:paraId="6D6C07B1" w14:textId="2350FC61" w:rsidR="00057F22" w:rsidRDefault="00057F22" w:rsidP="0083645C">
      <w:pPr>
        <w:spacing w:before="240" w:after="0"/>
        <w:jc w:val="both"/>
        <w:rPr>
          <w:rFonts w:cstheme="minorHAnsi"/>
          <w:b/>
        </w:rPr>
      </w:pPr>
      <w:r w:rsidRPr="00057F22">
        <w:rPr>
          <w:rFonts w:cstheme="minorHAnsi"/>
        </w:rPr>
        <w:t>Níže jsou uvedeny požadavky</w:t>
      </w:r>
      <w:r w:rsidR="009E1CEC">
        <w:rPr>
          <w:rFonts w:cstheme="minorHAnsi"/>
        </w:rPr>
        <w:t xml:space="preserve"> na jednotlivé nové části VO</w:t>
      </w:r>
      <w:r w:rsidRPr="00057F22">
        <w:rPr>
          <w:rFonts w:cstheme="minorHAnsi"/>
        </w:rPr>
        <w:t xml:space="preserve">, </w:t>
      </w:r>
      <w:r w:rsidR="009E1CEC">
        <w:rPr>
          <w:rFonts w:cstheme="minorHAnsi"/>
        </w:rPr>
        <w:t xml:space="preserve">jejichž splnění </w:t>
      </w:r>
      <w:r w:rsidRPr="00057F22">
        <w:rPr>
          <w:rFonts w:cstheme="minorHAnsi"/>
        </w:rPr>
        <w:t xml:space="preserve">zadavatel </w:t>
      </w:r>
      <w:r w:rsidR="009E1CEC">
        <w:rPr>
          <w:rFonts w:cstheme="minorHAnsi"/>
        </w:rPr>
        <w:t>předpokládá. Uvedené parametry budou předmětem jednání o předběžných nabídkách. Zadavatel si vyhrazuje právo uvedené požadavky upravit.</w:t>
      </w:r>
    </w:p>
    <w:p w14:paraId="25276E36" w14:textId="1FB13C89" w:rsidR="00197DB3" w:rsidRPr="00C1679A" w:rsidRDefault="00F75D42" w:rsidP="004A4B5D">
      <w:pPr>
        <w:spacing w:before="360" w:after="0"/>
        <w:jc w:val="both"/>
        <w:rPr>
          <w:rFonts w:cstheme="minorHAnsi"/>
          <w:b/>
        </w:rPr>
      </w:pPr>
      <w:r>
        <w:rPr>
          <w:rFonts w:cstheme="minorHAnsi"/>
          <w:b/>
        </w:rPr>
        <w:t>SVÍTIDLA</w:t>
      </w:r>
    </w:p>
    <w:p w14:paraId="62C99E94" w14:textId="52EDAA59" w:rsidR="00057F22" w:rsidRDefault="00197DB3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</w:pPr>
      <w:r w:rsidRPr="00C1679A">
        <w:t xml:space="preserve">Svítidlo musí být originálně zamýšleno pouze se světelnými </w:t>
      </w:r>
      <w:r w:rsidR="00057F22">
        <w:t>zdroji LED</w:t>
      </w:r>
      <w:r w:rsidRPr="00C1679A">
        <w:t xml:space="preserve"> </w:t>
      </w:r>
      <w:r w:rsidR="00057F22">
        <w:t>(n</w:t>
      </w:r>
      <w:r w:rsidRPr="00C1679A">
        <w:t xml:space="preserve">esmí se jednat o tzv. </w:t>
      </w:r>
      <w:proofErr w:type="spellStart"/>
      <w:r w:rsidRPr="00C1679A">
        <w:t>retrofit</w:t>
      </w:r>
      <w:proofErr w:type="spellEnd"/>
      <w:r w:rsidR="00057F22">
        <w:t>)</w:t>
      </w:r>
      <w:r w:rsidRPr="00C1679A">
        <w:t xml:space="preserve"> </w:t>
      </w:r>
    </w:p>
    <w:p w14:paraId="74BBE222" w14:textId="52CA023B" w:rsidR="00197DB3" w:rsidRDefault="00197DB3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C1679A">
        <w:t>Svítidlo musí být chlazeno pouze pasivně, nikoliv aktivně za použití ventilátorů nebo podobných zařízení.</w:t>
      </w:r>
    </w:p>
    <w:p w14:paraId="56C57F1E" w14:textId="77777777" w:rsidR="009F4BEE" w:rsidRPr="004A4B5D" w:rsidRDefault="009F4BEE" w:rsidP="004A4B5D">
      <w:pPr>
        <w:spacing w:before="240" w:after="0"/>
        <w:ind w:firstLine="357"/>
        <w:rPr>
          <w:b/>
          <w:bCs/>
          <w:u w:val="single"/>
        </w:rPr>
      </w:pPr>
      <w:r w:rsidRPr="004A4B5D">
        <w:rPr>
          <w:b/>
          <w:bCs/>
          <w:u w:val="single"/>
        </w:rPr>
        <w:t>Mechanická část:</w:t>
      </w:r>
    </w:p>
    <w:p w14:paraId="09BD0197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</w:pPr>
      <w:r>
        <w:t>Těleso svítidla z tlakově odlévaného hliníku.</w:t>
      </w:r>
    </w:p>
    <w:p w14:paraId="32F2A38C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Hladká horní část svítidla bez žebrování pro snadnější údržbu.</w:t>
      </w:r>
    </w:p>
    <w:p w14:paraId="2178F359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3 velikosti korpusu dle příkonové řady ve stejném designu</w:t>
      </w:r>
    </w:p>
    <w:p w14:paraId="381C6DBB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Povrchová úprava práškovou barvou</w:t>
      </w:r>
    </w:p>
    <w:p w14:paraId="35AA74F4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Servis a výměna svítidla bez použití nástroje.</w:t>
      </w:r>
    </w:p>
    <w:p w14:paraId="67557C32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C1679A">
        <w:t xml:space="preserve">Výměna elektrické části svítidel musí být možná bez nutnosti použití nářadí. Svítidlo se musí otevírat směrem nahoru. Otevření svítidel musí být možné bez nutnosti použití nářadí. </w:t>
      </w:r>
    </w:p>
    <w:p w14:paraId="558A75E9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Určeno pro boční upevnění nebo upevnění na dřík stožáru o průměru 60mm , pro dřík 76mm</w:t>
      </w:r>
    </w:p>
    <w:p w14:paraId="3BDA4D20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 xml:space="preserve">Možnost vyklopení svítidla o úhel: </w:t>
      </w:r>
      <w:r w:rsidRPr="00A93EBA">
        <w:t>±</w:t>
      </w:r>
      <w:r>
        <w:t xml:space="preserve"> </w:t>
      </w:r>
      <w:r w:rsidRPr="00A93EBA">
        <w:t>0°/5°/10°/15°</w:t>
      </w:r>
    </w:p>
    <w:p w14:paraId="40CDAA87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Pracovní teplotní rozsah: -25 až +50°C.</w:t>
      </w:r>
    </w:p>
    <w:p w14:paraId="2D13D815" w14:textId="77777777" w:rsidR="009F4BEE" w:rsidRPr="00EE2AD0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C1679A">
        <w:t xml:space="preserve">Svítidla musí být ve </w:t>
      </w:r>
      <w:r w:rsidRPr="00EE2AD0">
        <w:t xml:space="preserve">třídě II elektrické izolace. </w:t>
      </w:r>
    </w:p>
    <w:p w14:paraId="6D556BB4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Krytí svítidla: IP66</w:t>
      </w:r>
    </w:p>
    <w:p w14:paraId="0111BC93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Membrána pro vyrovnání tlaku ve svítidle.</w:t>
      </w:r>
    </w:p>
    <w:p w14:paraId="207C0156" w14:textId="77777777" w:rsidR="009F4BEE" w:rsidRPr="004A4B5D" w:rsidRDefault="009F4BEE" w:rsidP="004A4B5D">
      <w:pPr>
        <w:spacing w:before="240" w:after="0"/>
        <w:ind w:firstLine="357"/>
        <w:rPr>
          <w:b/>
          <w:bCs/>
          <w:u w:val="single"/>
        </w:rPr>
      </w:pPr>
      <w:r w:rsidRPr="004A4B5D">
        <w:rPr>
          <w:b/>
          <w:bCs/>
          <w:u w:val="single"/>
        </w:rPr>
        <w:t>Optická část:</w:t>
      </w:r>
    </w:p>
    <w:p w14:paraId="504C00FB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</w:pPr>
      <w:r>
        <w:t xml:space="preserve">Účinný sekundární asymetrický optický systém s použitím reflektorů s vysokou odrazností </w:t>
      </w:r>
    </w:p>
    <w:p w14:paraId="2316332E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Křivky svítivosti optimalizované pro světelné scény včetně osvětlení cyklostezek a přechodů pro chodce.</w:t>
      </w:r>
    </w:p>
    <w:p w14:paraId="25B6203D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PMMA optický kryt s odolností proti nárazu IK09.</w:t>
      </w:r>
    </w:p>
    <w:p w14:paraId="56FF844C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Výměnný modul LED včetně optické části a driveru bez použití nástroje (</w:t>
      </w:r>
      <w:proofErr w:type="spellStart"/>
      <w:r>
        <w:t>Plug</w:t>
      </w:r>
      <w:proofErr w:type="spellEnd"/>
      <w:r>
        <w:t xml:space="preserve"> and play)</w:t>
      </w:r>
    </w:p>
    <w:p w14:paraId="23834408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 xml:space="preserve">Zamezení přístupu do prostoru pro LED. </w:t>
      </w:r>
      <w:r w:rsidRPr="00514060">
        <w:t>Ochrana ESD.</w:t>
      </w:r>
    </w:p>
    <w:p w14:paraId="7DD5BA5F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Měrný výkon  2200K &gt; 100lm/W, 3000K&gt;120lm/W, 4000K&gt;130lm/W</w:t>
      </w:r>
    </w:p>
    <w:p w14:paraId="0B5BDC0E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Barva světla: 4000K CRI70 / 3000K CRI80 / 2200K CRI70</w:t>
      </w:r>
    </w:p>
    <w:p w14:paraId="5E15BD35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 xml:space="preserve">Konstantní světelný tok </w:t>
      </w:r>
    </w:p>
    <w:p w14:paraId="22462C38" w14:textId="2704B3ED" w:rsidR="009F4BEE" w:rsidRPr="004A4B5D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173645">
        <w:t>Životnost</w:t>
      </w:r>
      <w:r>
        <w:t xml:space="preserve"> 100000h (L95/B10) </w:t>
      </w:r>
      <w:proofErr w:type="spellStart"/>
      <w:r>
        <w:t>at</w:t>
      </w:r>
      <w:proofErr w:type="spellEnd"/>
      <w:r>
        <w:t xml:space="preserve"> AT = 25°C</w:t>
      </w:r>
    </w:p>
    <w:p w14:paraId="791B1EAE" w14:textId="77777777" w:rsidR="009F4BEE" w:rsidRPr="00E32019" w:rsidRDefault="009F4BEE" w:rsidP="004A4B5D">
      <w:pPr>
        <w:spacing w:before="240" w:after="0"/>
        <w:ind w:firstLine="357"/>
        <w:rPr>
          <w:b/>
          <w:bCs/>
          <w:u w:val="single"/>
        </w:rPr>
      </w:pPr>
      <w:r w:rsidRPr="00E32019">
        <w:rPr>
          <w:b/>
          <w:bCs/>
          <w:u w:val="single"/>
        </w:rPr>
        <w:t>Elektrická část</w:t>
      </w:r>
      <w:r>
        <w:rPr>
          <w:b/>
          <w:bCs/>
          <w:u w:val="single"/>
        </w:rPr>
        <w:t>:</w:t>
      </w:r>
    </w:p>
    <w:p w14:paraId="2074FE36" w14:textId="77777777" w:rsidR="009F4BEE" w:rsidRDefault="009F4BEE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</w:pPr>
      <w:r>
        <w:t xml:space="preserve">Napájení: </w:t>
      </w:r>
      <w:r w:rsidRPr="00565282">
        <w:t xml:space="preserve"> 220..240V, AC, 50/60Hz,</w:t>
      </w:r>
    </w:p>
    <w:p w14:paraId="434920FA" w14:textId="77777777" w:rsidR="009F4BEE" w:rsidRPr="00C1679A" w:rsidRDefault="009F4BEE" w:rsidP="009F4BEE">
      <w:pPr>
        <w:pStyle w:val="Odstavecseseznamem"/>
        <w:numPr>
          <w:ilvl w:val="0"/>
          <w:numId w:val="6"/>
        </w:numPr>
        <w:jc w:val="both"/>
      </w:pPr>
      <w:r w:rsidRPr="00C1679A">
        <w:lastRenderedPageBreak/>
        <w:t xml:space="preserve">Elektronický LED předřadník </w:t>
      </w:r>
      <w:proofErr w:type="gramStart"/>
      <w:r w:rsidRPr="00C1679A">
        <w:t>musí</w:t>
      </w:r>
      <w:proofErr w:type="gramEnd"/>
      <w:r w:rsidRPr="00C1679A">
        <w:t xml:space="preserve"> být na vyžádání možno řídit systémem </w:t>
      </w:r>
      <w:proofErr w:type="gramStart"/>
      <w:r w:rsidRPr="00C1679A">
        <w:t>DALI</w:t>
      </w:r>
      <w:proofErr w:type="gramEnd"/>
      <w:r w:rsidRPr="00C1679A">
        <w:t xml:space="preserve"> nebo musí umožnit přednastavení systémem </w:t>
      </w:r>
      <w:proofErr w:type="spellStart"/>
      <w:r>
        <w:t>Astrodimm</w:t>
      </w:r>
      <w:proofErr w:type="spellEnd"/>
      <w:r w:rsidRPr="00C1679A">
        <w:t>. Svítidla musí být taktéž možno vybavit pro řízení systémem vzdálené správy.</w:t>
      </w:r>
      <w:r>
        <w:t xml:space="preserve"> </w:t>
      </w:r>
      <w:r w:rsidRPr="00C1679A">
        <w:t>(bude určeno při podpisu smlouvy)</w:t>
      </w:r>
    </w:p>
    <w:p w14:paraId="6782FBF9" w14:textId="77777777" w:rsidR="009F4BEE" w:rsidRDefault="009F4BEE" w:rsidP="009F4BEE">
      <w:pPr>
        <w:pStyle w:val="Odstavecseseznamem"/>
        <w:numPr>
          <w:ilvl w:val="0"/>
          <w:numId w:val="6"/>
        </w:numPr>
      </w:pPr>
      <w:r>
        <w:t>třída ochrany II s vyrovnáním potenciálu pro montáž na neuzemněné stožáry (dřevo/beton/plast)</w:t>
      </w:r>
    </w:p>
    <w:p w14:paraId="2709618A" w14:textId="77777777" w:rsidR="009F4BEE" w:rsidRDefault="009F4BEE" w:rsidP="009F4BEE">
      <w:pPr>
        <w:pStyle w:val="Odstavecseseznamem"/>
        <w:numPr>
          <w:ilvl w:val="0"/>
          <w:numId w:val="6"/>
        </w:numPr>
      </w:pPr>
      <w:r>
        <w:t>ochrana proti přehřátí</w:t>
      </w:r>
    </w:p>
    <w:p w14:paraId="2DEFBC0F" w14:textId="77777777" w:rsidR="009F4BEE" w:rsidRDefault="009F4BEE" w:rsidP="009F4BEE">
      <w:pPr>
        <w:pStyle w:val="Odstavecseseznamem"/>
        <w:numPr>
          <w:ilvl w:val="0"/>
          <w:numId w:val="6"/>
        </w:numPr>
      </w:pPr>
      <w:r>
        <w:t>O</w:t>
      </w:r>
      <w:r w:rsidRPr="00565282">
        <w:t>dolnost vůči nárazovému napětí</w:t>
      </w:r>
      <w:r>
        <w:t xml:space="preserve">: </w:t>
      </w:r>
      <w:r w:rsidRPr="006E5EC8">
        <w:t xml:space="preserve">6kV 1.2/50µs </w:t>
      </w:r>
      <w:r>
        <w:t>(DIN EN 61037)</w:t>
      </w:r>
    </w:p>
    <w:p w14:paraId="5CD09A47" w14:textId="77777777" w:rsidR="006126B1" w:rsidRDefault="009F4BEE" w:rsidP="006126B1">
      <w:pPr>
        <w:pStyle w:val="Odstavecseseznamem"/>
        <w:numPr>
          <w:ilvl w:val="0"/>
          <w:numId w:val="6"/>
        </w:numPr>
      </w:pPr>
      <w:r w:rsidRPr="006126B1">
        <w:t>Certifikát: ENEC</w:t>
      </w:r>
    </w:p>
    <w:p w14:paraId="3A40BB75" w14:textId="249AAC4C" w:rsidR="00197DB3" w:rsidRPr="00C1679A" w:rsidRDefault="00F75D42" w:rsidP="004A4B5D">
      <w:pPr>
        <w:spacing w:before="360" w:after="0"/>
        <w:jc w:val="both"/>
        <w:rPr>
          <w:rFonts w:cstheme="minorHAnsi"/>
          <w:b/>
        </w:rPr>
      </w:pPr>
      <w:r>
        <w:rPr>
          <w:rFonts w:cstheme="minorHAnsi"/>
          <w:b/>
        </w:rPr>
        <w:t>SLOUPY A VÝLOŽNÍKY</w:t>
      </w:r>
    </w:p>
    <w:p w14:paraId="2D2FC8C3" w14:textId="4085EB46" w:rsidR="0093668A" w:rsidRPr="004A4B5D" w:rsidRDefault="002A6A72" w:rsidP="004A4B5D">
      <w:pPr>
        <w:spacing w:before="120" w:after="0" w:line="100" w:lineRule="atLeast"/>
        <w:jc w:val="both"/>
        <w:rPr>
          <w:rFonts w:cstheme="minorHAnsi"/>
        </w:rPr>
      </w:pPr>
      <w:r w:rsidRPr="00EB5E5C">
        <w:rPr>
          <w:rFonts w:eastAsia="Lucida Sans Unicode" w:cstheme="minorHAnsi"/>
          <w:bCs/>
        </w:rPr>
        <w:t>V</w:t>
      </w:r>
      <w:r w:rsidRPr="00EB5E5C">
        <w:rPr>
          <w:rFonts w:eastAsia="Lucida Sans Unicode" w:cstheme="minorHAnsi"/>
        </w:rPr>
        <w:t xml:space="preserve"> rámci akce </w:t>
      </w:r>
      <w:r w:rsidR="00F62C38" w:rsidRPr="00EB5E5C">
        <w:rPr>
          <w:rFonts w:eastAsia="Lucida Sans Unicode" w:cstheme="minorHAnsi"/>
        </w:rPr>
        <w:t>může nastat situace, kdy bude</w:t>
      </w:r>
      <w:r w:rsidR="0093668A" w:rsidRPr="00EB5E5C">
        <w:rPr>
          <w:rFonts w:eastAsia="Lucida Sans Unicode" w:cstheme="minorHAnsi"/>
        </w:rPr>
        <w:t xml:space="preserve"> nutné osadit nové sloupy (resp. doplnit počet světelných míst o nová) </w:t>
      </w:r>
      <w:r w:rsidR="00835DCF" w:rsidRPr="00EB5E5C">
        <w:rPr>
          <w:rFonts w:cstheme="minorHAnsi"/>
        </w:rPr>
        <w:t xml:space="preserve">tak, aby bylo splněno osvětlení </w:t>
      </w:r>
      <w:r w:rsidR="00835DCF" w:rsidRPr="006126B1">
        <w:rPr>
          <w:rFonts w:cstheme="minorHAnsi"/>
        </w:rPr>
        <w:t>komunikací dle ČSN EN.</w:t>
      </w:r>
      <w:r w:rsidRPr="006126B1">
        <w:rPr>
          <w:rFonts w:cstheme="minorHAnsi"/>
        </w:rPr>
        <w:t xml:space="preserve"> </w:t>
      </w:r>
      <w:r w:rsidR="0093668A" w:rsidRPr="006126B1">
        <w:rPr>
          <w:rFonts w:cstheme="minorHAnsi"/>
        </w:rPr>
        <w:t>Zároveň může nastat potřeba výměny stávajících sloupů v havarijním stavu za nové</w:t>
      </w:r>
      <w:r w:rsidR="0093668A" w:rsidRPr="004A4B5D">
        <w:rPr>
          <w:rFonts w:cstheme="minorHAnsi"/>
        </w:rPr>
        <w:t>.</w:t>
      </w:r>
      <w:r w:rsidR="007E1DAC" w:rsidRPr="004A4B5D">
        <w:rPr>
          <w:rFonts w:cstheme="minorHAnsi"/>
        </w:rPr>
        <w:t xml:space="preserve"> </w:t>
      </w:r>
      <w:r w:rsidR="007E1DAC" w:rsidRPr="004A4B5D">
        <w:rPr>
          <w:rFonts w:cstheme="minorHAnsi"/>
          <w:b/>
        </w:rPr>
        <w:t>Pro účely nabídky předpokládejte, že bude nutn</w:t>
      </w:r>
      <w:r w:rsidR="00EB5E5C" w:rsidRPr="004A4B5D">
        <w:rPr>
          <w:rFonts w:cstheme="minorHAnsi"/>
          <w:b/>
        </w:rPr>
        <w:t xml:space="preserve">é instalovat </w:t>
      </w:r>
      <w:r w:rsidR="00DE606F" w:rsidRPr="004A4B5D">
        <w:rPr>
          <w:rFonts w:cstheme="minorHAnsi"/>
          <w:b/>
        </w:rPr>
        <w:t xml:space="preserve">6 nových </w:t>
      </w:r>
      <w:r w:rsidR="007E1DAC" w:rsidRPr="004A4B5D">
        <w:rPr>
          <w:rFonts w:cstheme="minorHAnsi"/>
          <w:b/>
        </w:rPr>
        <w:t>sloupů</w:t>
      </w:r>
      <w:r w:rsidR="007E1DAC" w:rsidRPr="004A4B5D">
        <w:rPr>
          <w:rFonts w:cstheme="minorHAnsi"/>
        </w:rPr>
        <w:t xml:space="preserve"> (</w:t>
      </w:r>
      <w:r w:rsidR="00DE606F" w:rsidRPr="004A4B5D">
        <w:rPr>
          <w:rFonts w:cstheme="minorHAnsi"/>
        </w:rPr>
        <w:t xml:space="preserve">resp. nových světelných bodů) - </w:t>
      </w:r>
      <w:r w:rsidR="007E1DAC" w:rsidRPr="004A4B5D">
        <w:rPr>
          <w:rFonts w:cstheme="minorHAnsi"/>
          <w:b/>
        </w:rPr>
        <w:t>je třeba zahrnout do nabídkové ceny</w:t>
      </w:r>
      <w:r w:rsidR="00DE606F" w:rsidRPr="004A4B5D">
        <w:rPr>
          <w:rFonts w:cstheme="minorHAnsi"/>
        </w:rPr>
        <w:t>!</w:t>
      </w:r>
    </w:p>
    <w:p w14:paraId="352751AE" w14:textId="77777777" w:rsidR="00EB5E5C" w:rsidRPr="004A4B5D" w:rsidRDefault="00DC25AE" w:rsidP="004A4B5D">
      <w:pPr>
        <w:spacing w:before="120" w:after="0"/>
        <w:jc w:val="both"/>
        <w:rPr>
          <w:rFonts w:cstheme="minorHAnsi"/>
        </w:rPr>
      </w:pPr>
      <w:r w:rsidRPr="004A4B5D">
        <w:rPr>
          <w:rFonts w:cstheme="minorHAnsi"/>
        </w:rPr>
        <w:t>V</w:t>
      </w:r>
      <w:r w:rsidR="0093668A" w:rsidRPr="004A4B5D">
        <w:rPr>
          <w:rFonts w:cstheme="minorHAnsi"/>
        </w:rPr>
        <w:t xml:space="preserve"> takových případech </w:t>
      </w:r>
      <w:r w:rsidRPr="004A4B5D">
        <w:rPr>
          <w:rFonts w:cstheme="minorHAnsi"/>
        </w:rPr>
        <w:t>předpokládejte</w:t>
      </w:r>
      <w:r w:rsidR="0093668A" w:rsidRPr="004A4B5D">
        <w:rPr>
          <w:rFonts w:cstheme="minorHAnsi"/>
        </w:rPr>
        <w:t xml:space="preserve"> </w:t>
      </w:r>
      <w:r w:rsidR="00EB5E5C" w:rsidRPr="004A4B5D">
        <w:rPr>
          <w:rFonts w:cstheme="minorHAnsi"/>
        </w:rPr>
        <w:t>následující provedení:</w:t>
      </w:r>
    </w:p>
    <w:p w14:paraId="6D270345" w14:textId="0D24833A" w:rsidR="00EB5E5C" w:rsidRPr="004A4B5D" w:rsidRDefault="00EB5E5C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  <w:rPr>
          <w:rFonts w:cstheme="minorHAnsi"/>
        </w:rPr>
      </w:pPr>
      <w:r w:rsidRPr="004A4B5D">
        <w:rPr>
          <w:rFonts w:cstheme="minorHAnsi"/>
        </w:rPr>
        <w:t>L</w:t>
      </w:r>
      <w:r w:rsidR="0093668A" w:rsidRPr="004A4B5D">
        <w:rPr>
          <w:rFonts w:cstheme="minorHAnsi"/>
        </w:rPr>
        <w:t>ehčen</w:t>
      </w:r>
      <w:r w:rsidRPr="004A4B5D">
        <w:rPr>
          <w:rFonts w:cstheme="minorHAnsi"/>
        </w:rPr>
        <w:t>ý</w:t>
      </w:r>
      <w:r w:rsidR="0093668A" w:rsidRPr="004A4B5D">
        <w:rPr>
          <w:rFonts w:cstheme="minorHAnsi"/>
        </w:rPr>
        <w:t xml:space="preserve"> kónick</w:t>
      </w:r>
      <w:r w:rsidRPr="004A4B5D">
        <w:rPr>
          <w:rFonts w:cstheme="minorHAnsi"/>
        </w:rPr>
        <w:t>ý</w:t>
      </w:r>
      <w:r w:rsidR="0093668A" w:rsidRPr="004A4B5D">
        <w:rPr>
          <w:rFonts w:cstheme="minorHAnsi"/>
        </w:rPr>
        <w:t xml:space="preserve"> </w:t>
      </w:r>
      <w:r w:rsidR="004A4B5D" w:rsidRPr="004A4B5D">
        <w:rPr>
          <w:rFonts w:cstheme="minorHAnsi"/>
        </w:rPr>
        <w:t xml:space="preserve">žárově zinkovaný </w:t>
      </w:r>
      <w:r w:rsidR="002A6A72" w:rsidRPr="004A4B5D">
        <w:rPr>
          <w:rFonts w:cstheme="minorHAnsi"/>
        </w:rPr>
        <w:t>sloup</w:t>
      </w:r>
      <w:r w:rsidR="00331992" w:rsidRPr="004A4B5D">
        <w:rPr>
          <w:rFonts w:cstheme="minorHAnsi"/>
        </w:rPr>
        <w:t xml:space="preserve"> s </w:t>
      </w:r>
      <w:bookmarkStart w:id="0" w:name="_GoBack"/>
      <w:bookmarkEnd w:id="0"/>
      <w:r w:rsidR="00331992" w:rsidRPr="004A4B5D">
        <w:rPr>
          <w:rFonts w:cstheme="minorHAnsi"/>
        </w:rPr>
        <w:t xml:space="preserve">výškou </w:t>
      </w:r>
      <w:r w:rsidR="00153962">
        <w:rPr>
          <w:rFonts w:cstheme="minorHAnsi"/>
        </w:rPr>
        <w:t>8 m</w:t>
      </w:r>
      <w:r w:rsidR="004A4B5D" w:rsidRPr="004A4B5D">
        <w:rPr>
          <w:rFonts w:cstheme="minorHAnsi"/>
        </w:rPr>
        <w:t xml:space="preserve"> a barevným provedením dle barvy svítidel</w:t>
      </w:r>
      <w:r w:rsidR="002A6A72" w:rsidRPr="004A4B5D">
        <w:rPr>
          <w:rFonts w:cstheme="minorHAnsi"/>
        </w:rPr>
        <w:t xml:space="preserve">. </w:t>
      </w:r>
    </w:p>
    <w:p w14:paraId="73E80249" w14:textId="77777777" w:rsidR="00EB5E5C" w:rsidRPr="004A4B5D" w:rsidRDefault="002A6A72" w:rsidP="00EB5E5C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4A4B5D">
        <w:rPr>
          <w:rFonts w:cstheme="minorHAnsi"/>
        </w:rPr>
        <w:t>Sloup je přírubový</w:t>
      </w:r>
      <w:r w:rsidR="00835DCF" w:rsidRPr="004A4B5D">
        <w:rPr>
          <w:rFonts w:cstheme="minorHAnsi"/>
        </w:rPr>
        <w:t xml:space="preserve"> a je možno jej kotvit do stávající betonové patky prostřednictvím „chemické kotvy“</w:t>
      </w:r>
      <w:r w:rsidRPr="004A4B5D">
        <w:rPr>
          <w:rFonts w:cstheme="minorHAnsi"/>
        </w:rPr>
        <w:t xml:space="preserve">. </w:t>
      </w:r>
    </w:p>
    <w:p w14:paraId="44DFBDD7" w14:textId="77777777" w:rsidR="00EB5E5C" w:rsidRPr="004A4B5D" w:rsidRDefault="002A6A72" w:rsidP="00EB5E5C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4A4B5D">
        <w:rPr>
          <w:rFonts w:cstheme="minorHAnsi"/>
        </w:rPr>
        <w:t>Statické dimenzování sloupu, výložníku a základu určí výrobce tak, aby byly splněny podmínky bezpečné instalace (větrová oblast, kategorie terénu, návětrná plocha, délka vyložení, hmotnost svítidla). Toto bude doloženo statickým výpočtem.</w:t>
      </w:r>
      <w:r w:rsidRPr="004A4B5D">
        <w:rPr>
          <w:rFonts w:cstheme="minorHAnsi"/>
          <w:b/>
        </w:rPr>
        <w:t xml:space="preserve"> </w:t>
      </w:r>
    </w:p>
    <w:p w14:paraId="77DB3901" w14:textId="26AC8E67" w:rsidR="00953E7C" w:rsidRPr="004A4B5D" w:rsidRDefault="00953E7C" w:rsidP="00EB5E5C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4A4B5D">
        <w:rPr>
          <w:rFonts w:cstheme="minorHAnsi"/>
        </w:rPr>
        <w:t>Svorkovnice být součástí sloupu, musí být ve stupni krytí min. IP54 z důvodu zamezení parazitních „svodů“ např. vlhkých pavučin.</w:t>
      </w:r>
    </w:p>
    <w:p w14:paraId="5F4A0FD5" w14:textId="609EAC60" w:rsidR="00197DB3" w:rsidRPr="00C1679A" w:rsidRDefault="00F75D42" w:rsidP="004A4B5D">
      <w:pPr>
        <w:spacing w:before="360" w:after="0"/>
        <w:jc w:val="both"/>
        <w:rPr>
          <w:rFonts w:cstheme="minorHAnsi"/>
          <w:b/>
        </w:rPr>
      </w:pPr>
      <w:r>
        <w:rPr>
          <w:rFonts w:cstheme="minorHAnsi"/>
          <w:b/>
        </w:rPr>
        <w:t>ROZVÁDĚČE</w:t>
      </w:r>
      <w:r w:rsidR="00835DCF">
        <w:rPr>
          <w:rFonts w:cstheme="minorHAnsi"/>
          <w:b/>
        </w:rPr>
        <w:t xml:space="preserve"> </w:t>
      </w:r>
      <w:r w:rsidR="00C61541">
        <w:rPr>
          <w:rFonts w:cstheme="minorHAnsi"/>
          <w:b/>
        </w:rPr>
        <w:t>(3 ks)</w:t>
      </w:r>
    </w:p>
    <w:p w14:paraId="76DF9BF0" w14:textId="0508B7CF" w:rsidR="000B4B91" w:rsidRPr="004A4B5D" w:rsidRDefault="00EB5E5C" w:rsidP="004A4B5D">
      <w:pPr>
        <w:spacing w:before="120" w:after="0" w:line="100" w:lineRule="atLeast"/>
        <w:jc w:val="both"/>
        <w:rPr>
          <w:rFonts w:eastAsia="Lucida Sans Unicode" w:cstheme="minorHAnsi"/>
        </w:rPr>
      </w:pPr>
      <w:r w:rsidRPr="004A4B5D">
        <w:rPr>
          <w:rFonts w:eastAsia="Lucida Sans Unicode" w:cstheme="minorHAnsi"/>
        </w:rPr>
        <w:t xml:space="preserve">Stav a vybavení rozvaděčů napájejících řešenou část soustavy VO je patrný z přiložených fotografií. RVO 1 Smetanova je v plastovém provedení, zbylé dva rozvaděče jsou </w:t>
      </w:r>
      <w:proofErr w:type="spellStart"/>
      <w:r w:rsidRPr="004A4B5D">
        <w:rPr>
          <w:rFonts w:eastAsia="Lucida Sans Unicode" w:cstheme="minorHAnsi"/>
        </w:rPr>
        <w:t>oceloplechové</w:t>
      </w:r>
      <w:proofErr w:type="spellEnd"/>
      <w:r w:rsidRPr="004A4B5D">
        <w:rPr>
          <w:rFonts w:eastAsia="Lucida Sans Unicode" w:cstheme="minorHAnsi"/>
        </w:rPr>
        <w:t xml:space="preserve"> a z </w:t>
      </w:r>
      <w:r w:rsidR="00D9345D" w:rsidRPr="004A4B5D">
        <w:rPr>
          <w:rFonts w:eastAsia="Lucida Sans Unicode" w:cstheme="minorHAnsi"/>
        </w:rPr>
        <w:t>dnešního pohledu nevyhovující.</w:t>
      </w:r>
    </w:p>
    <w:p w14:paraId="726BCCF2" w14:textId="1E706670" w:rsidR="00197DB3" w:rsidRPr="004A4B5D" w:rsidRDefault="00EB5E5C" w:rsidP="004A4B5D">
      <w:pPr>
        <w:spacing w:before="120" w:after="0" w:line="100" w:lineRule="atLeast"/>
        <w:jc w:val="both"/>
        <w:rPr>
          <w:rFonts w:eastAsia="Lucida Sans Unicode" w:cstheme="minorHAnsi"/>
        </w:rPr>
      </w:pPr>
      <w:r w:rsidRPr="004A4B5D">
        <w:rPr>
          <w:rFonts w:eastAsia="Lucida Sans Unicode" w:cstheme="minorHAnsi"/>
        </w:rPr>
        <w:t xml:space="preserve">Zadavatel požaduje výměnu </w:t>
      </w:r>
      <w:proofErr w:type="spellStart"/>
      <w:r w:rsidRPr="004A4B5D">
        <w:rPr>
          <w:rFonts w:eastAsia="Lucida Sans Unicode" w:cstheme="minorHAnsi"/>
        </w:rPr>
        <w:t>oceloplechových</w:t>
      </w:r>
      <w:proofErr w:type="spellEnd"/>
      <w:r w:rsidRPr="004A4B5D">
        <w:rPr>
          <w:rFonts w:eastAsia="Lucida Sans Unicode" w:cstheme="minorHAnsi"/>
        </w:rPr>
        <w:t xml:space="preserve"> RVO.</w:t>
      </w:r>
      <w:r w:rsidR="00F51B78" w:rsidRPr="004A4B5D">
        <w:rPr>
          <w:rFonts w:eastAsia="Lucida Sans Unicode" w:cstheme="minorHAnsi"/>
        </w:rPr>
        <w:t xml:space="preserve"> </w:t>
      </w:r>
      <w:r w:rsidR="00E45021" w:rsidRPr="004A4B5D">
        <w:rPr>
          <w:rFonts w:eastAsia="Lucida Sans Unicode" w:cstheme="minorHAnsi"/>
        </w:rPr>
        <w:t>Zadavatel předpokládá následující provedení:</w:t>
      </w:r>
    </w:p>
    <w:p w14:paraId="7C96B824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  <w:rPr>
          <w:rFonts w:cstheme="minorHAnsi"/>
        </w:rPr>
      </w:pPr>
      <w:r w:rsidRPr="004A4B5D">
        <w:rPr>
          <w:rFonts w:cstheme="minorHAnsi"/>
        </w:rPr>
        <w:t>Skříň z tvrzeného polyesteru se zvýšenou odolností proti povětrnostním podmínkám, s krytím IP 44.</w:t>
      </w:r>
    </w:p>
    <w:p w14:paraId="3D233FAE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Stěny skříní budou stupně hořlavosti „B-nesnadno hořlavé“ ze samozhášivého materiálu se zvýšenou stabilizací proti povětrnostním vlivům a UV záření.</w:t>
      </w:r>
    </w:p>
    <w:p w14:paraId="0C4EC0C5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Modulární provedení rozvaděče, umožňující instalaci jako samostatně stojící, na sloup, na sokl nebo do zdiva s variabilním počtem vývodů osazených pojistkovými odpojovači s oddělenou elektroměrovou, ovládací (na jednotné universální klíče FAB) a vývodovou částí, dveře osazeny dveřními kontakty.</w:t>
      </w:r>
    </w:p>
    <w:p w14:paraId="4445EEC7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Výkonová řada pro hodnoty hlavních jističů od 10A do 100A, jističe osazeny pomocnými kontakty a uchazeč musí předpokládat jištění LED svítidel.</w:t>
      </w:r>
    </w:p>
    <w:p w14:paraId="49E61E63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Přepěťová ochrana B+C.</w:t>
      </w:r>
    </w:p>
    <w:p w14:paraId="5A55C509" w14:textId="78A38279" w:rsidR="00E45021" w:rsidRPr="004A4B5D" w:rsidRDefault="00492DA8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M</w:t>
      </w:r>
      <w:r w:rsidR="00E45021" w:rsidRPr="004A4B5D">
        <w:rPr>
          <w:rFonts w:cstheme="minorHAnsi"/>
        </w:rPr>
        <w:t>ěření doby svícení n</w:t>
      </w:r>
      <w:r w:rsidRPr="004A4B5D">
        <w:rPr>
          <w:rFonts w:cstheme="minorHAnsi"/>
        </w:rPr>
        <w:t>a každém RVO.</w:t>
      </w:r>
    </w:p>
    <w:p w14:paraId="2774CC21" w14:textId="284029A9" w:rsidR="00E45021" w:rsidRPr="004A4B5D" w:rsidRDefault="00492DA8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lastRenderedPageBreak/>
        <w:t>I</w:t>
      </w:r>
      <w:r w:rsidR="00E45021" w:rsidRPr="004A4B5D">
        <w:rPr>
          <w:rFonts w:cstheme="minorHAnsi"/>
        </w:rPr>
        <w:t xml:space="preserve">nstalace podružného měření spotřeby elektřiny s rozhraním RS485 a v průběhu celého období garance úspor sledování spotřeb a porovnání měřených údajů s údaji z fakturačního měření, </w:t>
      </w:r>
    </w:p>
    <w:p w14:paraId="46C7CA01" w14:textId="7EF7E306" w:rsidR="00E45021" w:rsidRPr="004A4B5D" w:rsidRDefault="00492DA8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P</w:t>
      </w:r>
      <w:r w:rsidR="00E45021" w:rsidRPr="004A4B5D">
        <w:rPr>
          <w:rFonts w:cstheme="minorHAnsi"/>
        </w:rPr>
        <w:t xml:space="preserve">rostor pro případnou instalaci </w:t>
      </w:r>
      <w:proofErr w:type="gramStart"/>
      <w:r w:rsidR="00E45021" w:rsidRPr="004A4B5D">
        <w:rPr>
          <w:rFonts w:cstheme="minorHAnsi"/>
        </w:rPr>
        <w:t>řídícího</w:t>
      </w:r>
      <w:proofErr w:type="gramEnd"/>
      <w:r w:rsidR="00E45021" w:rsidRPr="004A4B5D">
        <w:rPr>
          <w:rFonts w:cstheme="minorHAnsi"/>
        </w:rPr>
        <w:t xml:space="preserve"> systému v rozměrech minimálně 20 U (přístrojových modulů).</w:t>
      </w:r>
    </w:p>
    <w:p w14:paraId="6882CA45" w14:textId="77777777" w:rsidR="00E45021" w:rsidRPr="00E45021" w:rsidRDefault="00E45021" w:rsidP="00E670B3">
      <w:pPr>
        <w:jc w:val="both"/>
        <w:rPr>
          <w:rFonts w:cstheme="minorHAnsi"/>
        </w:rPr>
      </w:pPr>
    </w:p>
    <w:p w14:paraId="0921E575" w14:textId="13B8AA03" w:rsidR="00F75D42" w:rsidRPr="00F75D42" w:rsidRDefault="004C5E3B" w:rsidP="004A4B5D">
      <w:pPr>
        <w:spacing w:before="360" w:after="0"/>
        <w:jc w:val="both"/>
        <w:rPr>
          <w:rFonts w:cstheme="minorHAnsi"/>
          <w:b/>
        </w:rPr>
      </w:pPr>
      <w:r>
        <w:rPr>
          <w:rFonts w:cstheme="minorHAnsi"/>
          <w:b/>
        </w:rPr>
        <w:t>PROKÁZÁNÍ SPLNĚNÍ POŽADAVKŮ V RÁMCI NABÍDKY</w:t>
      </w:r>
    </w:p>
    <w:p w14:paraId="40963600" w14:textId="7E8DF260" w:rsidR="00F75D42" w:rsidRDefault="00F75D42" w:rsidP="004A4B5D">
      <w:pPr>
        <w:spacing w:before="120" w:after="0" w:line="100" w:lineRule="atLeast"/>
        <w:jc w:val="both"/>
        <w:rPr>
          <w:rFonts w:cstheme="minorHAnsi"/>
        </w:rPr>
      </w:pPr>
      <w:r>
        <w:rPr>
          <w:rFonts w:cstheme="minorHAnsi"/>
        </w:rPr>
        <w:t>Dodavatel</w:t>
      </w:r>
      <w:r w:rsidR="00197DB3" w:rsidRPr="00C1679A">
        <w:rPr>
          <w:rFonts w:cstheme="minorHAnsi"/>
        </w:rPr>
        <w:t xml:space="preserve"> </w:t>
      </w:r>
      <w:r w:rsidR="00EE2AD0">
        <w:rPr>
          <w:rFonts w:cstheme="minorHAnsi"/>
          <w:b/>
        </w:rPr>
        <w:t>uvede</w:t>
      </w:r>
      <w:r w:rsidR="00197DB3" w:rsidRPr="00C1679A">
        <w:rPr>
          <w:rFonts w:cstheme="minorHAnsi"/>
          <w:b/>
        </w:rPr>
        <w:t xml:space="preserve"> </w:t>
      </w:r>
      <w:r w:rsidR="00EE2AD0">
        <w:rPr>
          <w:rFonts w:cstheme="minorHAnsi"/>
          <w:b/>
        </w:rPr>
        <w:t>v nabídce přesné typy</w:t>
      </w:r>
      <w:r w:rsidR="00197DB3" w:rsidRPr="00C1679A">
        <w:rPr>
          <w:rFonts w:cstheme="minorHAnsi"/>
          <w:b/>
        </w:rPr>
        <w:t xml:space="preserve"> </w:t>
      </w:r>
      <w:r w:rsidR="00EE2AD0">
        <w:rPr>
          <w:rFonts w:cstheme="minorHAnsi"/>
          <w:b/>
        </w:rPr>
        <w:t>a výrobce</w:t>
      </w:r>
      <w:r w:rsidR="00197DB3" w:rsidRPr="00F75D42">
        <w:rPr>
          <w:rFonts w:cstheme="minorHAnsi"/>
          <w:b/>
        </w:rPr>
        <w:t xml:space="preserve"> </w:t>
      </w:r>
      <w:r w:rsidR="00EE2AD0">
        <w:rPr>
          <w:rFonts w:cstheme="minorHAnsi"/>
          <w:b/>
        </w:rPr>
        <w:t>svítidel,</w:t>
      </w:r>
      <w:r w:rsidR="00197DB3" w:rsidRPr="00F75D42">
        <w:rPr>
          <w:rFonts w:cstheme="minorHAnsi"/>
        </w:rPr>
        <w:t xml:space="preserve"> </w:t>
      </w:r>
      <w:r w:rsidR="00EE2AD0">
        <w:rPr>
          <w:rFonts w:cstheme="minorHAnsi"/>
        </w:rPr>
        <w:t>r</w:t>
      </w:r>
      <w:r w:rsidR="004C5E3B">
        <w:rPr>
          <w:rFonts w:cstheme="minorHAnsi"/>
        </w:rPr>
        <w:t xml:space="preserve">esp. </w:t>
      </w:r>
      <w:r w:rsidR="004C5E3B" w:rsidRPr="004C5E3B">
        <w:rPr>
          <w:rFonts w:cstheme="minorHAnsi"/>
          <w:b/>
        </w:rPr>
        <w:t>bude předložena srovnávací tabulka se všemi svítidly</w:t>
      </w:r>
      <w:r w:rsidR="004C5E3B">
        <w:rPr>
          <w:rFonts w:cstheme="minorHAnsi"/>
        </w:rPr>
        <w:t xml:space="preserve"> (bude patrné, která stávající svítidla jsou měněna za jaká nová. Tabulku předložte v </w:t>
      </w:r>
      <w:proofErr w:type="spellStart"/>
      <w:r w:rsidR="004C5E3B">
        <w:rPr>
          <w:rFonts w:cstheme="minorHAnsi"/>
        </w:rPr>
        <w:t>excelu</w:t>
      </w:r>
      <w:proofErr w:type="spellEnd"/>
      <w:r w:rsidR="004C5E3B">
        <w:rPr>
          <w:rFonts w:cstheme="minorHAnsi"/>
        </w:rPr>
        <w:t>).</w:t>
      </w:r>
    </w:p>
    <w:p w14:paraId="485AB6E6" w14:textId="47F4F703" w:rsidR="009F4368" w:rsidRPr="004A4B5D" w:rsidRDefault="009F4368" w:rsidP="004A4B5D">
      <w:pPr>
        <w:spacing w:before="120" w:after="0" w:line="100" w:lineRule="atLeast"/>
        <w:jc w:val="both"/>
        <w:rPr>
          <w:rFonts w:cstheme="minorHAnsi"/>
        </w:rPr>
      </w:pPr>
      <w:r w:rsidRPr="004A4B5D">
        <w:rPr>
          <w:rFonts w:cstheme="minorHAnsi"/>
          <w:b/>
        </w:rPr>
        <w:t>V rámci nabídky je dále třeba</w:t>
      </w:r>
      <w:r w:rsidRPr="004A4B5D">
        <w:rPr>
          <w:rFonts w:cstheme="minorHAnsi"/>
        </w:rPr>
        <w:t xml:space="preserve"> </w:t>
      </w:r>
      <w:r w:rsidR="00197DB3" w:rsidRPr="004A4B5D">
        <w:rPr>
          <w:rFonts w:cstheme="minorHAnsi"/>
          <w:b/>
        </w:rPr>
        <w:t xml:space="preserve">předložit světelně technické výpočty </w:t>
      </w:r>
      <w:r w:rsidRPr="004A4B5D">
        <w:rPr>
          <w:rFonts w:cstheme="minorHAnsi"/>
          <w:b/>
        </w:rPr>
        <w:t>prokazující, že navržená svítidla vyhoví normovým požadavků na VO</w:t>
      </w:r>
      <w:r w:rsidRPr="004A4B5D">
        <w:rPr>
          <w:rFonts w:cstheme="minorHAnsi"/>
        </w:rPr>
        <w:t>. Výpočty je třeba předložit pro následující úseky:</w:t>
      </w:r>
    </w:p>
    <w:p w14:paraId="5F9E8817" w14:textId="11B48DF8" w:rsidR="009F4368" w:rsidRPr="004A4B5D" w:rsidRDefault="009F4368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úsek komunikace se svítidly č. 188, 189, 190, 191, 192 a 295 (konec Teplické ulice)</w:t>
      </w:r>
    </w:p>
    <w:p w14:paraId="5FD7BDEF" w14:textId="77777777" w:rsidR="009F4368" w:rsidRPr="004A4B5D" w:rsidRDefault="009F4368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úsek komunikace se svítidly č. 1071, 1072, 108, 1091, 1092 a 111 (křižovatka Teplické ul., Smetanovy ul., Nádražní ul. a Husova nám.).</w:t>
      </w:r>
    </w:p>
    <w:p w14:paraId="56BC43C4" w14:textId="0F809404" w:rsidR="004A4B5D" w:rsidRDefault="009F4368" w:rsidP="004A4B5D">
      <w:pPr>
        <w:spacing w:before="120" w:after="0" w:line="100" w:lineRule="atLeast"/>
        <w:jc w:val="both"/>
        <w:rPr>
          <w:rFonts w:cstheme="minorHAnsi"/>
        </w:rPr>
      </w:pPr>
      <w:r w:rsidRPr="004A4B5D">
        <w:rPr>
          <w:rFonts w:cstheme="minorHAnsi"/>
        </w:rPr>
        <w:t xml:space="preserve">Výpočty je třeba předložit v elektronické podobě, včetně vyzařovacích charakteristik </w:t>
      </w:r>
      <w:r w:rsidR="00197DB3" w:rsidRPr="004A4B5D">
        <w:rPr>
          <w:rFonts w:cstheme="minorHAnsi"/>
        </w:rPr>
        <w:t>ve formátu ELUMDAT v elektronické podobě</w:t>
      </w:r>
      <w:r w:rsidRPr="004A4B5D">
        <w:rPr>
          <w:rFonts w:cstheme="minorHAnsi"/>
        </w:rPr>
        <w:t>.</w:t>
      </w:r>
      <w:r w:rsidR="00197DB3" w:rsidRPr="009F4368">
        <w:rPr>
          <w:rFonts w:cstheme="minorHAnsi"/>
        </w:rPr>
        <w:t xml:space="preserve"> </w:t>
      </w:r>
      <w:r w:rsidR="004A4B5D" w:rsidRPr="004A4B5D">
        <w:rPr>
          <w:rFonts w:cstheme="minorHAnsi"/>
        </w:rPr>
        <w:t xml:space="preserve">K výpočtu je nutno doložit </w:t>
      </w:r>
      <w:r w:rsidR="004A4B5D" w:rsidRPr="004A4B5D">
        <w:rPr>
          <w:rFonts w:cstheme="minorHAnsi"/>
          <w:b/>
        </w:rPr>
        <w:t>výpočet udržovacího činitele</w:t>
      </w:r>
      <w:r w:rsidR="004A4B5D" w:rsidRPr="004A4B5D">
        <w:rPr>
          <w:rFonts w:cstheme="minorHAnsi"/>
        </w:rPr>
        <w:t xml:space="preserve"> svítidel při předpokladu intervalu čištění 5</w:t>
      </w:r>
      <w:r w:rsidR="004A4B5D">
        <w:rPr>
          <w:rFonts w:cstheme="minorHAnsi"/>
        </w:rPr>
        <w:t xml:space="preserve"> </w:t>
      </w:r>
      <w:r w:rsidR="004A4B5D" w:rsidRPr="004A4B5D">
        <w:rPr>
          <w:rFonts w:cstheme="minorHAnsi"/>
        </w:rPr>
        <w:t>let.</w:t>
      </w:r>
    </w:p>
    <w:p w14:paraId="3E46DE46" w14:textId="3E29700C" w:rsidR="00197DB3" w:rsidRDefault="00197DB3" w:rsidP="004A4B5D">
      <w:pPr>
        <w:spacing w:before="120" w:after="0" w:line="100" w:lineRule="atLeast"/>
        <w:jc w:val="both"/>
        <w:rPr>
          <w:rFonts w:cstheme="minorHAnsi"/>
        </w:rPr>
      </w:pPr>
      <w:r w:rsidRPr="00C1679A">
        <w:rPr>
          <w:rFonts w:cstheme="minorHAnsi"/>
          <w:b/>
        </w:rPr>
        <w:t>Garance doloží účastník prohlášením výrobce svítidel.</w:t>
      </w:r>
      <w:r w:rsidR="00C61541" w:rsidRPr="00C61541">
        <w:rPr>
          <w:rFonts w:cstheme="minorHAnsi"/>
        </w:rPr>
        <w:t xml:space="preserve"> </w:t>
      </w:r>
      <w:r w:rsidR="00C61541" w:rsidRPr="00F75D42">
        <w:rPr>
          <w:rFonts w:cstheme="minorHAnsi"/>
        </w:rPr>
        <w:t xml:space="preserve">Svítidla musí být certifikována mezinárodně uznávaným standardizovaným certifikátem </w:t>
      </w:r>
      <w:r w:rsidR="00C61541" w:rsidRPr="00F75D42">
        <w:rPr>
          <w:rFonts w:cstheme="minorHAnsi"/>
          <w:b/>
        </w:rPr>
        <w:t>ENEC</w:t>
      </w:r>
      <w:r w:rsidR="00C61541" w:rsidRPr="00F75D42">
        <w:rPr>
          <w:rFonts w:cstheme="minorHAnsi"/>
        </w:rPr>
        <w:t>.</w:t>
      </w:r>
    </w:p>
    <w:p w14:paraId="6CBEAC75" w14:textId="77777777" w:rsidR="00C61541" w:rsidRPr="00C1679A" w:rsidRDefault="00C61541" w:rsidP="00E670B3">
      <w:pPr>
        <w:jc w:val="both"/>
        <w:rPr>
          <w:rFonts w:cstheme="minorHAnsi"/>
          <w:b/>
        </w:rPr>
      </w:pPr>
    </w:p>
    <w:sectPr w:rsidR="00C61541" w:rsidRPr="00C167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62C9E" w14:textId="77777777" w:rsidR="00E71379" w:rsidRDefault="00E71379" w:rsidP="00197DB3">
      <w:pPr>
        <w:spacing w:after="0" w:line="240" w:lineRule="auto"/>
      </w:pPr>
      <w:r>
        <w:separator/>
      </w:r>
    </w:p>
  </w:endnote>
  <w:endnote w:type="continuationSeparator" w:id="0">
    <w:p w14:paraId="5076BD84" w14:textId="77777777" w:rsidR="00E71379" w:rsidRDefault="00E71379" w:rsidP="0019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031DC" w14:textId="77777777" w:rsidR="00E71379" w:rsidRDefault="00E71379" w:rsidP="00197DB3">
      <w:pPr>
        <w:spacing w:after="0" w:line="240" w:lineRule="auto"/>
      </w:pPr>
      <w:r>
        <w:separator/>
      </w:r>
    </w:p>
  </w:footnote>
  <w:footnote w:type="continuationSeparator" w:id="0">
    <w:p w14:paraId="265006D0" w14:textId="77777777" w:rsidR="00E71379" w:rsidRDefault="00E71379" w:rsidP="00197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038DB" w14:textId="5015EC54" w:rsidR="00E670B3" w:rsidRPr="00C731C5" w:rsidRDefault="0083645C" w:rsidP="00E670B3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  <w:szCs w:val="20"/>
      </w:rPr>
    </w:pPr>
    <w:r w:rsidRPr="004C5D00">
      <w:rPr>
        <w:rFonts w:cs="Verdana"/>
        <w:bCs/>
        <w:iCs/>
        <w:sz w:val="20"/>
        <w:szCs w:val="20"/>
      </w:rPr>
      <w:t>Poskytování energetických služeb metodou EPC ve vybraných budovách a soustavě veřejného osvětlení v majetku města Chabařovice</w:t>
    </w:r>
  </w:p>
  <w:p w14:paraId="7DB15A82" w14:textId="116F7CC1" w:rsidR="00197DB3" w:rsidRPr="00E670B3" w:rsidRDefault="00E670B3" w:rsidP="00E670B3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  <w:szCs w:val="20"/>
      </w:rPr>
    </w:pPr>
    <w:r w:rsidRPr="00EF4135">
      <w:rPr>
        <w:rFonts w:cs="Calibri"/>
        <w:b/>
        <w:bCs/>
        <w:sz w:val="16"/>
        <w:szCs w:val="16"/>
      </w:rPr>
      <w:t>TECHNICKÉ POŽADAVKY NA S</w:t>
    </w:r>
    <w:r>
      <w:rPr>
        <w:rFonts w:cs="Calibri"/>
        <w:b/>
        <w:bCs/>
        <w:sz w:val="16"/>
        <w:szCs w:val="16"/>
      </w:rPr>
      <w:t>VÍTIDLA, SLOUPY A ROZVADĚČE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656F"/>
    <w:multiLevelType w:val="hybridMultilevel"/>
    <w:tmpl w:val="3B720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31214"/>
    <w:multiLevelType w:val="hybridMultilevel"/>
    <w:tmpl w:val="99922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B2B38"/>
    <w:multiLevelType w:val="hybridMultilevel"/>
    <w:tmpl w:val="9A5E8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B40AD"/>
    <w:multiLevelType w:val="hybridMultilevel"/>
    <w:tmpl w:val="FB06D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27F2D"/>
    <w:multiLevelType w:val="hybridMultilevel"/>
    <w:tmpl w:val="710AF1AC"/>
    <w:lvl w:ilvl="0" w:tplc="ADAE69A8">
      <w:start w:val="1"/>
      <w:numFmt w:val="decimal"/>
      <w:lvlText w:val="Informace č. %1:"/>
      <w:lvlJc w:val="left"/>
      <w:pPr>
        <w:ind w:left="1418" w:hanging="1418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D4C3C"/>
    <w:multiLevelType w:val="hybridMultilevel"/>
    <w:tmpl w:val="B3CE7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A4F1D"/>
    <w:multiLevelType w:val="hybridMultilevel"/>
    <w:tmpl w:val="B3BCAFB6"/>
    <w:lvl w:ilvl="0" w:tplc="70F03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D64"/>
    <w:rsid w:val="00057F22"/>
    <w:rsid w:val="00063118"/>
    <w:rsid w:val="000B4B91"/>
    <w:rsid w:val="000D467F"/>
    <w:rsid w:val="0010110C"/>
    <w:rsid w:val="00153962"/>
    <w:rsid w:val="00197DB3"/>
    <w:rsid w:val="001A31F3"/>
    <w:rsid w:val="00226152"/>
    <w:rsid w:val="00256D6F"/>
    <w:rsid w:val="00264C63"/>
    <w:rsid w:val="00271403"/>
    <w:rsid w:val="002A6A72"/>
    <w:rsid w:val="002E7EBB"/>
    <w:rsid w:val="00300A7F"/>
    <w:rsid w:val="00331992"/>
    <w:rsid w:val="00396D89"/>
    <w:rsid w:val="003E5562"/>
    <w:rsid w:val="004105E5"/>
    <w:rsid w:val="00434B92"/>
    <w:rsid w:val="004518F9"/>
    <w:rsid w:val="00492DA8"/>
    <w:rsid w:val="004A326A"/>
    <w:rsid w:val="004A4B5D"/>
    <w:rsid w:val="004C5E3B"/>
    <w:rsid w:val="00516701"/>
    <w:rsid w:val="005C1453"/>
    <w:rsid w:val="006126B1"/>
    <w:rsid w:val="006416B7"/>
    <w:rsid w:val="0067341B"/>
    <w:rsid w:val="00694AE0"/>
    <w:rsid w:val="006A538D"/>
    <w:rsid w:val="006E7D10"/>
    <w:rsid w:val="007E1DAC"/>
    <w:rsid w:val="008323CA"/>
    <w:rsid w:val="00835DCF"/>
    <w:rsid w:val="0083645C"/>
    <w:rsid w:val="008533FD"/>
    <w:rsid w:val="00871178"/>
    <w:rsid w:val="008837DB"/>
    <w:rsid w:val="0093668A"/>
    <w:rsid w:val="00953E7C"/>
    <w:rsid w:val="00961CAE"/>
    <w:rsid w:val="00991FA8"/>
    <w:rsid w:val="009B7D64"/>
    <w:rsid w:val="009E1CEC"/>
    <w:rsid w:val="009F4368"/>
    <w:rsid w:val="009F4BEE"/>
    <w:rsid w:val="009F4C0D"/>
    <w:rsid w:val="00A00AE1"/>
    <w:rsid w:val="00A17EA0"/>
    <w:rsid w:val="00AB4ACD"/>
    <w:rsid w:val="00B262E8"/>
    <w:rsid w:val="00B27388"/>
    <w:rsid w:val="00BC6B46"/>
    <w:rsid w:val="00BE2419"/>
    <w:rsid w:val="00C1679A"/>
    <w:rsid w:val="00C61541"/>
    <w:rsid w:val="00CA6B9A"/>
    <w:rsid w:val="00CB7A65"/>
    <w:rsid w:val="00CC0D13"/>
    <w:rsid w:val="00CF2A7E"/>
    <w:rsid w:val="00CF4184"/>
    <w:rsid w:val="00D02E44"/>
    <w:rsid w:val="00D127B2"/>
    <w:rsid w:val="00D17DF6"/>
    <w:rsid w:val="00D4557E"/>
    <w:rsid w:val="00D9345D"/>
    <w:rsid w:val="00DC25AE"/>
    <w:rsid w:val="00DE606F"/>
    <w:rsid w:val="00E00B36"/>
    <w:rsid w:val="00E2708B"/>
    <w:rsid w:val="00E45021"/>
    <w:rsid w:val="00E670B3"/>
    <w:rsid w:val="00E71379"/>
    <w:rsid w:val="00EB5E5C"/>
    <w:rsid w:val="00EE2AD0"/>
    <w:rsid w:val="00EF209E"/>
    <w:rsid w:val="00F51B78"/>
    <w:rsid w:val="00F62C38"/>
    <w:rsid w:val="00F75D42"/>
    <w:rsid w:val="00F81D6A"/>
    <w:rsid w:val="00F93CB4"/>
    <w:rsid w:val="00FF60B3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5B20"/>
  <w15:chartTrackingRefBased/>
  <w15:docId w15:val="{7A625DBE-3BD4-4B74-A51A-EF80C6A2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7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7DB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97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7DB3"/>
  </w:style>
  <w:style w:type="paragraph" w:styleId="Zpat">
    <w:name w:val="footer"/>
    <w:basedOn w:val="Normln"/>
    <w:link w:val="ZpatChar"/>
    <w:uiPriority w:val="99"/>
    <w:unhideWhenUsed/>
    <w:rsid w:val="00197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7DB3"/>
  </w:style>
  <w:style w:type="character" w:styleId="Odkaznakoment">
    <w:name w:val="annotation reference"/>
    <w:basedOn w:val="Standardnpsmoodstavce"/>
    <w:uiPriority w:val="99"/>
    <w:semiHidden/>
    <w:unhideWhenUsed/>
    <w:rsid w:val="006E7D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7D1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7D1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7D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7D10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057F22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99"/>
    <w:rsid w:val="00E45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828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</dc:creator>
  <cp:keywords/>
  <dc:description/>
  <cp:lastModifiedBy>Jiří Mazáček</cp:lastModifiedBy>
  <cp:revision>12</cp:revision>
  <dcterms:created xsi:type="dcterms:W3CDTF">2021-01-30T16:49:00Z</dcterms:created>
  <dcterms:modified xsi:type="dcterms:W3CDTF">2021-02-11T19:39:00Z</dcterms:modified>
</cp:coreProperties>
</file>